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546F" w:rsidRPr="00775EB7" w:rsidRDefault="005A546F" w:rsidP="005A546F">
      <w:pPr>
        <w:jc w:val="center"/>
        <w:rPr>
          <w:rFonts w:ascii="Garamond" w:hAnsi="Garamond"/>
          <w:b/>
          <w:sz w:val="22"/>
          <w:szCs w:val="22"/>
        </w:rPr>
      </w:pPr>
      <w:r w:rsidRPr="00775EB7">
        <w:rPr>
          <w:rFonts w:ascii="Garamond" w:hAnsi="Garamond"/>
          <w:b/>
          <w:sz w:val="22"/>
          <w:szCs w:val="22"/>
        </w:rPr>
        <w:t>Tantárgyi program</w:t>
      </w:r>
    </w:p>
    <w:p w:rsidR="005A546F" w:rsidRPr="00775EB7" w:rsidRDefault="005A546F" w:rsidP="005A546F">
      <w:pPr>
        <w:rPr>
          <w:rFonts w:ascii="Garamond" w:hAnsi="Garamond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79"/>
        <w:gridCol w:w="5177"/>
      </w:tblGrid>
      <w:tr w:rsidR="005A546F" w:rsidRPr="00775EB7" w:rsidTr="00DE5211">
        <w:tc>
          <w:tcPr>
            <w:tcW w:w="3936" w:type="dxa"/>
            <w:vMerge w:val="restart"/>
          </w:tcPr>
          <w:p w:rsidR="005A546F" w:rsidRPr="00775EB7" w:rsidRDefault="005A546F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Tantárgy neve: </w:t>
            </w:r>
            <w:bookmarkStart w:id="0" w:name="_GoBack"/>
            <w:r w:rsidRPr="00775EB7">
              <w:rPr>
                <w:rFonts w:ascii="Garamond" w:hAnsi="Garamond"/>
                <w:b/>
                <w:sz w:val="22"/>
                <w:szCs w:val="22"/>
              </w:rPr>
              <w:t>Munkajogi szakszeminárium III.</w:t>
            </w:r>
            <w:r w:rsidRPr="00775EB7">
              <w:rPr>
                <w:rFonts w:ascii="Garamond" w:hAnsi="Garamond"/>
                <w:sz w:val="22"/>
                <w:szCs w:val="22"/>
              </w:rPr>
              <w:t xml:space="preserve"> </w:t>
            </w:r>
            <w:bookmarkEnd w:id="0"/>
          </w:p>
        </w:tc>
        <w:tc>
          <w:tcPr>
            <w:tcW w:w="5276" w:type="dxa"/>
          </w:tcPr>
          <w:p w:rsidR="005A546F" w:rsidRPr="00775EB7" w:rsidRDefault="005A546F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Neptun kódja: DFDIÁJ212N3, DFDIÁJ212L3</w:t>
            </w:r>
          </w:p>
        </w:tc>
      </w:tr>
      <w:tr w:rsidR="005A546F" w:rsidRPr="00775EB7" w:rsidTr="00DE5211">
        <w:tc>
          <w:tcPr>
            <w:tcW w:w="3936" w:type="dxa"/>
            <w:vMerge/>
          </w:tcPr>
          <w:p w:rsidR="005A546F" w:rsidRPr="00775EB7" w:rsidRDefault="005A546F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5276" w:type="dxa"/>
          </w:tcPr>
          <w:p w:rsidR="005A546F" w:rsidRPr="00775EB7" w:rsidRDefault="005A546F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Tantárgy jellege: kötelezően választandó</w:t>
            </w:r>
          </w:p>
        </w:tc>
      </w:tr>
      <w:tr w:rsidR="005A546F" w:rsidRPr="00775EB7" w:rsidTr="00DE5211">
        <w:tc>
          <w:tcPr>
            <w:tcW w:w="9212" w:type="dxa"/>
            <w:gridSpan w:val="2"/>
          </w:tcPr>
          <w:p w:rsidR="005A546F" w:rsidRPr="00775EB7" w:rsidRDefault="005A546F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Tantárgyfelelős neve, beosztása: Prof. Dr. Csák Csilla egyetemi tanár</w:t>
            </w:r>
          </w:p>
        </w:tc>
      </w:tr>
      <w:tr w:rsidR="005A546F" w:rsidRPr="00775EB7" w:rsidTr="00DE5211">
        <w:tc>
          <w:tcPr>
            <w:tcW w:w="9212" w:type="dxa"/>
            <w:gridSpan w:val="2"/>
          </w:tcPr>
          <w:p w:rsidR="005A546F" w:rsidRPr="00775EB7" w:rsidRDefault="005A546F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Oktatásba bevont oktatók neve, beosztása:</w:t>
            </w:r>
          </w:p>
        </w:tc>
      </w:tr>
      <w:tr w:rsidR="005A546F" w:rsidRPr="00775EB7" w:rsidTr="00DE5211">
        <w:tc>
          <w:tcPr>
            <w:tcW w:w="3936" w:type="dxa"/>
          </w:tcPr>
          <w:p w:rsidR="005A546F" w:rsidRPr="00775EB7" w:rsidRDefault="005A546F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Félév: </w:t>
            </w:r>
            <w:r w:rsidRPr="00775EB7">
              <w:rPr>
                <w:rFonts w:ascii="Garamond" w:hAnsi="Garamond"/>
                <w:sz w:val="22"/>
                <w:szCs w:val="22"/>
                <w:u w:val="single"/>
              </w:rPr>
              <w:t>páratlan</w:t>
            </w:r>
            <w:r w:rsidRPr="00775EB7">
              <w:rPr>
                <w:rFonts w:ascii="Garamond" w:hAnsi="Garamond"/>
                <w:sz w:val="22"/>
                <w:szCs w:val="22"/>
              </w:rPr>
              <w:t>/páros</w:t>
            </w:r>
          </w:p>
        </w:tc>
        <w:tc>
          <w:tcPr>
            <w:tcW w:w="5276" w:type="dxa"/>
          </w:tcPr>
          <w:p w:rsidR="005A546F" w:rsidRPr="00775EB7" w:rsidRDefault="005A546F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Óraszám/félév: 15</w:t>
            </w:r>
          </w:p>
        </w:tc>
      </w:tr>
      <w:tr w:rsidR="005A546F" w:rsidRPr="00775EB7" w:rsidTr="00DE5211">
        <w:tc>
          <w:tcPr>
            <w:tcW w:w="3936" w:type="dxa"/>
          </w:tcPr>
          <w:p w:rsidR="005A546F" w:rsidRPr="00775EB7" w:rsidRDefault="005A546F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Kreditérték: 3</w:t>
            </w:r>
          </w:p>
        </w:tc>
        <w:tc>
          <w:tcPr>
            <w:tcW w:w="5276" w:type="dxa"/>
          </w:tcPr>
          <w:p w:rsidR="005A546F" w:rsidRPr="00775EB7" w:rsidRDefault="005A546F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Számonkérés: kollokvium</w:t>
            </w:r>
          </w:p>
        </w:tc>
      </w:tr>
      <w:tr w:rsidR="005A546F" w:rsidRPr="00775EB7" w:rsidTr="00DE5211">
        <w:tc>
          <w:tcPr>
            <w:tcW w:w="9212" w:type="dxa"/>
            <w:gridSpan w:val="2"/>
          </w:tcPr>
          <w:p w:rsidR="005A546F" w:rsidRPr="00775EB7" w:rsidRDefault="005A546F" w:rsidP="00DE5211">
            <w:pPr>
              <w:jc w:val="both"/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 xml:space="preserve">Tantárgy feladata, célja: </w:t>
            </w:r>
          </w:p>
          <w:p w:rsidR="005A546F" w:rsidRPr="00775EB7" w:rsidRDefault="005A546F" w:rsidP="00DE5211">
            <w:pPr>
              <w:jc w:val="both"/>
              <w:rPr>
                <w:rFonts w:ascii="Garamond" w:hAnsi="Garamond"/>
                <w:b/>
                <w:sz w:val="22"/>
                <w:szCs w:val="22"/>
              </w:rPr>
            </w:pPr>
          </w:p>
          <w:p w:rsidR="005A546F" w:rsidRPr="00775EB7" w:rsidRDefault="005A546F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A programra jelentkező doktorjelöltek környezetjogi, agrárjogi ismereteinek megalapozása, elmélyítése. Elvi segítségadás a készülő doktori disszertáció összeállításához.</w:t>
            </w:r>
          </w:p>
          <w:p w:rsidR="005A546F" w:rsidRPr="00775EB7" w:rsidRDefault="005A546F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</w:tr>
      <w:tr w:rsidR="005A546F" w:rsidRPr="00775EB7" w:rsidTr="00DE5211">
        <w:tc>
          <w:tcPr>
            <w:tcW w:w="9212" w:type="dxa"/>
            <w:gridSpan w:val="2"/>
          </w:tcPr>
          <w:p w:rsidR="005A546F" w:rsidRPr="00775EB7" w:rsidRDefault="005A546F" w:rsidP="00DE521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Tantárgyi tematika (heti bontásban):</w:t>
            </w:r>
          </w:p>
          <w:p w:rsidR="005A546F" w:rsidRPr="00775EB7" w:rsidRDefault="005A546F" w:rsidP="00DE5211">
            <w:pPr>
              <w:rPr>
                <w:rFonts w:ascii="Garamond" w:hAnsi="Garamond"/>
                <w:sz w:val="22"/>
                <w:szCs w:val="22"/>
              </w:rPr>
            </w:pPr>
          </w:p>
          <w:p w:rsidR="005A546F" w:rsidRPr="00775EB7" w:rsidRDefault="005A546F" w:rsidP="00DE5211">
            <w:pPr>
              <w:ind w:left="284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1. A földterület méhének és felszínének környezeti védelme. A bányászat és a geológiai kutatásokkal kapcsolatos környezetvédelem, a tájvédelem, valamint a föld felszínének az élettelen tényezőivel összefüggő környezeti védelem és barlangokkal összefüggő jogi normarendszer, hazai és külföldi viszonylatban.</w:t>
            </w:r>
          </w:p>
          <w:p w:rsidR="005A546F" w:rsidRPr="00775EB7" w:rsidRDefault="005A546F" w:rsidP="00DE5211">
            <w:pPr>
              <w:ind w:left="284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2. A földterület méhének és felszínének környezeti védelme. A bányászat és a geológiai kutatásokkal kapcsolatos környezetvédelem, a tájvédelem, valamint a föld felszínének az élettelen tényezőivel összefüggő környezeti védelem és barlangokkal összefüggő jogi normarendszer, hazai és külföldi viszonylatban.</w:t>
            </w:r>
          </w:p>
          <w:p w:rsidR="005A546F" w:rsidRPr="00775EB7" w:rsidRDefault="005A546F" w:rsidP="00DE5211">
            <w:pPr>
              <w:ind w:left="284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3. A föld felszínének élőhelyi védelme, az élőnövényzet különösen az erdők védelme, erdő és levegőtisztaság védelem, erdő- és vadvédelem, az erdő és a természet egyéb növényi és állati életközösségének a védelme, vad- és madárvédelem. </w:t>
            </w:r>
          </w:p>
          <w:p w:rsidR="005A546F" w:rsidRPr="00775EB7" w:rsidRDefault="005A546F" w:rsidP="00DE5211">
            <w:pPr>
              <w:ind w:left="284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4. A föld felszínének élőhelyi védelme, az élőnövényzet különösen az erdők védelme, erdő és levegőtisztaság védelem, erdő- és vadvédelem, az erdő és a természet egyéb növényi és állati életközösségének a védelme, vad- és madárvédelem. </w:t>
            </w:r>
          </w:p>
          <w:p w:rsidR="005A546F" w:rsidRPr="00775EB7" w:rsidRDefault="005A546F" w:rsidP="00DE5211">
            <w:pPr>
              <w:ind w:left="284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5. A vizek élőközösségének a védelmére vonatkozó hazai és külföldi jogi szabályozás.</w:t>
            </w:r>
          </w:p>
          <w:p w:rsidR="005A546F" w:rsidRPr="00775EB7" w:rsidRDefault="005A546F" w:rsidP="00DE5211">
            <w:pPr>
              <w:ind w:left="284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6. A vizek élőközösségének a védelmére vonatkozó hazai és külföldi jogi szabályozás.</w:t>
            </w:r>
          </w:p>
          <w:p w:rsidR="005A546F" w:rsidRPr="00775EB7" w:rsidRDefault="005A546F" w:rsidP="00DE5211">
            <w:pPr>
              <w:ind w:left="284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7. Biodiverzitás megőrzése és alkotmányossági védelme, a közösségi/uniós szabályozás elemzése, ökológiai és ökonómiai elemzések áttekintése</w:t>
            </w:r>
          </w:p>
          <w:p w:rsidR="005A546F" w:rsidRPr="00775EB7" w:rsidRDefault="005A546F" w:rsidP="00DE5211">
            <w:pPr>
              <w:ind w:left="284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8. Mezőgazdasági tevékenységgel összefüggő környezeti védelem, különös tekintettel a növényvédő szerek használatára, a legelők és a legelőtakaró fenntartására vonatkozó védelem, valamint a mezőgazdasági termőföld termőképességének fenntartására vonatkozó védelmi tevékenység. Az agrominimum szabályozásának idevonatkozó szabályai.</w:t>
            </w:r>
          </w:p>
          <w:p w:rsidR="005A546F" w:rsidRPr="00775EB7" w:rsidRDefault="005A546F" w:rsidP="00DE5211">
            <w:pPr>
              <w:ind w:left="284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9. Mezőgazdasági tevékenységgel összefüggő környezeti védelem, különös tekintettel a növényvédő szerek használatára, a legelők és a legelőtakaró fenntartására vonatkozó védelem, valamint a mezőgazdasági termőföld termőképességének fenntartására vonatkozó védelmi tevékenység. Az agrominimum szabályozásának idevonatkozó szabályai.</w:t>
            </w:r>
          </w:p>
          <w:p w:rsidR="005A546F" w:rsidRPr="00775EB7" w:rsidRDefault="005A546F" w:rsidP="00DE5211">
            <w:pPr>
              <w:ind w:left="284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10. A levegő és a vízvédelem a gyáripari tevékenységgel, valamint a közlekedéssel összefüggésben.</w:t>
            </w:r>
          </w:p>
          <w:p w:rsidR="005A546F" w:rsidRPr="00775EB7" w:rsidRDefault="005A546F" w:rsidP="00DE5211">
            <w:pPr>
              <w:ind w:left="284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11. A települések környezetvédelme, ideértve az épített környezetvédelemét, telekrendezés, egyedi építmény és műemlékvédelem, továbbá a műszaki létesítményekkel összefüggő védelem.</w:t>
            </w:r>
          </w:p>
          <w:p w:rsidR="005A546F" w:rsidRPr="00775EB7" w:rsidRDefault="005A546F" w:rsidP="00DE5211">
            <w:pPr>
              <w:ind w:left="284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12. Veszélyes anyagokkal összefüggő táj-, természet-, település- és ingatlanvédelem, valamint légtér-, földterület- és vízvédelem.</w:t>
            </w:r>
          </w:p>
          <w:p w:rsidR="005A546F" w:rsidRPr="00775EB7" w:rsidRDefault="005A546F" w:rsidP="00DE5211">
            <w:pPr>
              <w:ind w:left="284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13. A természeti erőforrások jogának dogmatikai megközelítése, lehatárolása és a szabályozási környezet rendszertani megközelítése.</w:t>
            </w:r>
          </w:p>
          <w:p w:rsidR="005A546F" w:rsidRPr="00775EB7" w:rsidRDefault="005A546F" w:rsidP="00DE5211">
            <w:pPr>
              <w:ind w:left="284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14. A természeti erőforrások jogának dogmatikai megközelítése, lehatárolása és a szabályozási környezet rendszertani megközelítése.</w:t>
            </w:r>
          </w:p>
          <w:p w:rsidR="005A546F" w:rsidRPr="00775EB7" w:rsidRDefault="005A546F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15. Géntechnológia kérdések jogi aspektusai, GMO mentes mezőgazdaság kérdésének áttekintő elemzése a nemzetközi tapasztalatok alapján.</w:t>
            </w:r>
          </w:p>
          <w:p w:rsidR="005A546F" w:rsidRPr="00775EB7" w:rsidRDefault="005A546F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</w:p>
        </w:tc>
      </w:tr>
      <w:tr w:rsidR="005A546F" w:rsidRPr="00775EB7" w:rsidTr="00DE5211">
        <w:tc>
          <w:tcPr>
            <w:tcW w:w="9212" w:type="dxa"/>
            <w:gridSpan w:val="2"/>
          </w:tcPr>
          <w:p w:rsidR="005A546F" w:rsidRPr="00775EB7" w:rsidRDefault="005A546F" w:rsidP="00DE521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 xml:space="preserve">Számonkérés módja: </w:t>
            </w:r>
          </w:p>
          <w:p w:rsidR="005A546F" w:rsidRPr="00775EB7" w:rsidRDefault="005A546F" w:rsidP="00DE5211">
            <w:pPr>
              <w:rPr>
                <w:rFonts w:ascii="Garamond" w:hAnsi="Garamond"/>
                <w:b/>
                <w:sz w:val="22"/>
                <w:szCs w:val="22"/>
              </w:rPr>
            </w:pPr>
          </w:p>
          <w:p w:rsidR="005A546F" w:rsidRPr="00775EB7" w:rsidRDefault="005A546F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lastRenderedPageBreak/>
              <w:t>A nappali oktatáson résztvevők az előadásokon és a szakszemináriumokon való jelenlét mellett – előre egyeztetett tárgyú - egy ív terjedelmű – dolgozatot kötelesek írni vagy pedig a szakszemináriumon a szakszeminárium témaköréből előadást köteles tartani. A levelező hallgatók az előadásokat és a szakszemináriumokat nem kötelesek látogatni. Ők a tantárgyi tematikához kapcsolódó egy ív terjedelmű dolgozattal és egy kiválasztott kötelező irodalom ismeretének igazolásával szerezhetik meg a félévi érdemjegyet. A minősítés öt fokozatú.</w:t>
            </w:r>
          </w:p>
          <w:p w:rsidR="005A546F" w:rsidRPr="00775EB7" w:rsidRDefault="005A546F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</w:tr>
      <w:tr w:rsidR="005A546F" w:rsidRPr="00775EB7" w:rsidTr="00DE5211">
        <w:tc>
          <w:tcPr>
            <w:tcW w:w="9212" w:type="dxa"/>
            <w:gridSpan w:val="2"/>
          </w:tcPr>
          <w:p w:rsidR="005A546F" w:rsidRPr="00775EB7" w:rsidRDefault="005A546F" w:rsidP="00DE521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lastRenderedPageBreak/>
              <w:t>Kötelező irodalom:</w:t>
            </w:r>
          </w:p>
          <w:p w:rsidR="005A546F" w:rsidRPr="00775EB7" w:rsidRDefault="005A546F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magyar nyelvű</w:t>
            </w:r>
          </w:p>
          <w:p w:rsidR="005A546F" w:rsidRPr="00775EB7" w:rsidRDefault="005A546F" w:rsidP="005A546F">
            <w:pPr>
              <w:pStyle w:val="Listaszerbekezds"/>
              <w:numPr>
                <w:ilvl w:val="0"/>
                <w:numId w:val="1"/>
              </w:numPr>
              <w:contextualSpacing w:val="0"/>
              <w:jc w:val="both"/>
              <w:rPr>
                <w:rFonts w:ascii="Garamond" w:eastAsia="Times New Roman" w:hAnsi="Garamond"/>
                <w:bCs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bCs/>
                <w:sz w:val="22"/>
                <w:szCs w:val="22"/>
              </w:rPr>
              <w:t>FODOR László: Környezetvédelem az Alkotmányban. Gondolat Kiadó-Debreceni Egyetem Állam- és Jogtudományi Kar Budapest 2006. 205.o.</w:t>
            </w:r>
          </w:p>
          <w:p w:rsidR="005A546F" w:rsidRPr="00775EB7" w:rsidRDefault="005A546F" w:rsidP="005A546F">
            <w:pPr>
              <w:pStyle w:val="Listaszerbekezds"/>
              <w:numPr>
                <w:ilvl w:val="0"/>
                <w:numId w:val="1"/>
              </w:numPr>
              <w:contextualSpacing w:val="0"/>
              <w:jc w:val="both"/>
              <w:rPr>
                <w:rFonts w:ascii="Garamond" w:eastAsia="Times New Roman" w:hAnsi="Garamond"/>
                <w:bCs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CSÁK Csilla: A környezetjogi felelősség magánjogi dogmatikája, Miskolci Egyetem Miskolc 2012. 276.o.</w:t>
            </w:r>
          </w:p>
          <w:p w:rsidR="005A546F" w:rsidRPr="00775EB7" w:rsidRDefault="005A546F" w:rsidP="005A546F">
            <w:pPr>
              <w:pStyle w:val="Listaszerbekezds"/>
              <w:numPr>
                <w:ilvl w:val="0"/>
                <w:numId w:val="1"/>
              </w:numPr>
              <w:contextualSpacing w:val="0"/>
              <w:jc w:val="both"/>
              <w:rPr>
                <w:rFonts w:ascii="Garamond" w:eastAsia="Times New Roman" w:hAnsi="Garamond"/>
                <w:bCs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NAGY Zoltán: Fenntartható költségvetési elvonások rendszere a környezetvédelem területén. In: Publicationes Universitatis Miskolcinensis, Sectio Juridica et Politica, Miskolc, Tomus XXIX/1. (2011) 247-258.o., </w:t>
            </w:r>
          </w:p>
          <w:p w:rsidR="005A546F" w:rsidRPr="00775EB7" w:rsidRDefault="005A546F" w:rsidP="00DE5211">
            <w:pPr>
              <w:rPr>
                <w:rFonts w:ascii="Garamond" w:hAnsi="Garamond"/>
                <w:sz w:val="22"/>
                <w:szCs w:val="22"/>
              </w:rPr>
            </w:pPr>
          </w:p>
          <w:p w:rsidR="005A546F" w:rsidRPr="00775EB7" w:rsidRDefault="005A546F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idegen nyelvű</w:t>
            </w:r>
          </w:p>
          <w:p w:rsidR="005A546F" w:rsidRPr="00775EB7" w:rsidRDefault="005A546F" w:rsidP="005A546F">
            <w:pPr>
              <w:pStyle w:val="Listaszerbekezds"/>
              <w:numPr>
                <w:ilvl w:val="0"/>
                <w:numId w:val="3"/>
              </w:numPr>
              <w:contextualSpacing w:val="0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Ludwig KRÁMER (fordította: Horváth Zsuzsanna): Az Európai Unió környezeti joga. Dialóg Campus Kiadó Budapest-Pécs 2012. EU Environmental Law, Seventh Edition Sweet and Maxwell, London 2011. alapján</w:t>
            </w:r>
          </w:p>
          <w:p w:rsidR="005A546F" w:rsidRPr="00775EB7" w:rsidRDefault="005A546F" w:rsidP="005A546F">
            <w:pPr>
              <w:pStyle w:val="Listaszerbekezds"/>
              <w:numPr>
                <w:ilvl w:val="0"/>
                <w:numId w:val="3"/>
              </w:numPr>
              <w:contextualSpacing w:val="0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Nancy K. KUBASEK - Gary S. SILVERMAN: Environmental Law, Pearson Prentice Hall, Upper Saddle River, New Jersey 2008, 6th ed.</w:t>
            </w:r>
          </w:p>
          <w:p w:rsidR="005A546F" w:rsidRPr="00775EB7" w:rsidRDefault="005A546F" w:rsidP="005A546F">
            <w:pPr>
              <w:pStyle w:val="Listaszerbekezds"/>
              <w:numPr>
                <w:ilvl w:val="0"/>
                <w:numId w:val="3"/>
              </w:numPr>
              <w:contextualSpacing w:val="0"/>
              <w:jc w:val="both"/>
              <w:rPr>
                <w:rFonts w:ascii="Garamond" w:hAnsi="Garamond"/>
                <w:sz w:val="22"/>
                <w:szCs w:val="22"/>
              </w:rPr>
            </w:pPr>
            <w:hyperlink r:id="rId5" w:history="1">
              <w:r w:rsidRPr="00775EB7">
                <w:rPr>
                  <w:rStyle w:val="Hiperhivatkozs"/>
                  <w:rFonts w:ascii="Garamond" w:hAnsi="Garamond"/>
                  <w:sz w:val="22"/>
                  <w:szCs w:val="22"/>
                </w:rPr>
                <w:t>Nicolas de SADELEER</w:t>
              </w:r>
            </w:hyperlink>
            <w:r w:rsidRPr="00775EB7">
              <w:rPr>
                <w:rStyle w:val="a-declarative"/>
                <w:rFonts w:ascii="Garamond" w:hAnsi="Garamond"/>
                <w:sz w:val="22"/>
                <w:szCs w:val="22"/>
              </w:rPr>
              <w:t xml:space="preserve">: </w:t>
            </w:r>
            <w:r w:rsidRPr="00775EB7">
              <w:rPr>
                <w:rFonts w:ascii="Garamond" w:hAnsi="Garamond"/>
                <w:sz w:val="22"/>
                <w:szCs w:val="22"/>
              </w:rPr>
              <w:t>EU Environmental Law and the Internal Market. Oxford University Press 2014</w:t>
            </w:r>
          </w:p>
          <w:p w:rsidR="005A546F" w:rsidRPr="00775EB7" w:rsidRDefault="005A546F" w:rsidP="00DE5211">
            <w:pPr>
              <w:pStyle w:val="Listaszerbekezds"/>
              <w:contextualSpacing w:val="0"/>
              <w:jc w:val="both"/>
              <w:rPr>
                <w:rFonts w:ascii="Garamond" w:hAnsi="Garamond"/>
                <w:sz w:val="22"/>
                <w:szCs w:val="22"/>
              </w:rPr>
            </w:pPr>
          </w:p>
        </w:tc>
      </w:tr>
      <w:tr w:rsidR="005A546F" w:rsidRPr="00775EB7" w:rsidTr="00DE5211">
        <w:tc>
          <w:tcPr>
            <w:tcW w:w="9212" w:type="dxa"/>
            <w:gridSpan w:val="2"/>
          </w:tcPr>
          <w:p w:rsidR="005A546F" w:rsidRPr="00775EB7" w:rsidRDefault="005A546F" w:rsidP="00DE521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Ajánlott irodalom:</w:t>
            </w:r>
          </w:p>
          <w:p w:rsidR="005A546F" w:rsidRPr="00775EB7" w:rsidRDefault="005A546F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magyar nyelvű</w:t>
            </w:r>
          </w:p>
          <w:p w:rsidR="005A546F" w:rsidRPr="00775EB7" w:rsidRDefault="005A546F" w:rsidP="005A546F">
            <w:pPr>
              <w:pStyle w:val="Listaszerbekezds"/>
              <w:numPr>
                <w:ilvl w:val="0"/>
                <w:numId w:val="2"/>
              </w:numPr>
              <w:contextualSpacing w:val="0"/>
              <w:jc w:val="both"/>
              <w:rPr>
                <w:rFonts w:ascii="Garamond" w:eastAsia="Times New Roman" w:hAnsi="Garamond"/>
                <w:bCs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CSÁK Csilla (szerk.): Jogtudományi tanulmányok a fenntartható természeti erőforrások témakörében, Miskolci Egyetem Miskolc 2012. 203.o.</w:t>
            </w:r>
          </w:p>
          <w:p w:rsidR="005A546F" w:rsidRPr="00775EB7" w:rsidRDefault="005A546F" w:rsidP="005A546F">
            <w:pPr>
              <w:pStyle w:val="Listaszerbekezds"/>
              <w:numPr>
                <w:ilvl w:val="0"/>
                <w:numId w:val="2"/>
              </w:numPr>
              <w:contextualSpacing w:val="0"/>
              <w:jc w:val="both"/>
              <w:rPr>
                <w:rFonts w:ascii="Garamond" w:eastAsia="Times New Roman" w:hAnsi="Garamond"/>
                <w:bCs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SZILÁGYI János Ede: Vízjog, Aktuális kihívások a vizek jogi szabályozásában, Miskolc, Miskolci Egyetem, 2013</w:t>
            </w:r>
          </w:p>
          <w:p w:rsidR="005A546F" w:rsidRPr="00775EB7" w:rsidRDefault="005A546F" w:rsidP="005A546F">
            <w:pPr>
              <w:pStyle w:val="Listaszerbekezds"/>
              <w:numPr>
                <w:ilvl w:val="0"/>
                <w:numId w:val="2"/>
              </w:numPr>
              <w:contextualSpacing w:val="0"/>
              <w:jc w:val="both"/>
              <w:rPr>
                <w:rFonts w:ascii="Garamond" w:eastAsia="Times New Roman" w:hAnsi="Garamond"/>
                <w:bCs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FODOR László: Az Emberi Jogok Európai Bíróságának ítélete a zajterhelés csökkentésére tett intézkedésekről és a bírósági eljárás időtartamáról. JeMa 2011/3. 86-92. o.</w:t>
            </w:r>
          </w:p>
          <w:p w:rsidR="005A546F" w:rsidRPr="00775EB7" w:rsidRDefault="005A546F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idegen nyelvű</w:t>
            </w:r>
          </w:p>
          <w:p w:rsidR="005A546F" w:rsidRPr="00775EB7" w:rsidRDefault="005A546F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1. </w:t>
            </w:r>
            <w:hyperlink r:id="rId6" w:history="1">
              <w:r w:rsidRPr="00775EB7">
                <w:rPr>
                  <w:rStyle w:val="Hiperhivatkozs"/>
                  <w:rFonts w:ascii="Garamond" w:hAnsi="Garamond"/>
                  <w:sz w:val="22"/>
                  <w:szCs w:val="22"/>
                </w:rPr>
                <w:t>Geert Van Calster</w:t>
              </w:r>
            </w:hyperlink>
            <w:r w:rsidRPr="00775EB7">
              <w:rPr>
                <w:rStyle w:val="author"/>
                <w:rFonts w:ascii="Garamond" w:hAnsi="Garamond"/>
                <w:sz w:val="22"/>
                <w:szCs w:val="22"/>
              </w:rPr>
              <w:t xml:space="preserve">: </w:t>
            </w:r>
            <w:r w:rsidRPr="00775EB7">
              <w:rPr>
                <w:rFonts w:ascii="Garamond" w:hAnsi="Garamond"/>
                <w:sz w:val="22"/>
                <w:szCs w:val="22"/>
              </w:rPr>
              <w:t>EU Waste Law, Oxford University Press 2015.</w:t>
            </w:r>
          </w:p>
          <w:p w:rsidR="005A546F" w:rsidRPr="00775EB7" w:rsidRDefault="005A546F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2. </w:t>
            </w:r>
            <w:hyperlink r:id="rId7" w:history="1">
              <w:r w:rsidRPr="00775EB7">
                <w:rPr>
                  <w:rStyle w:val="Hiperhivatkozs"/>
                  <w:rFonts w:ascii="Garamond" w:hAnsi="Garamond"/>
                  <w:sz w:val="22"/>
                  <w:szCs w:val="22"/>
                </w:rPr>
                <w:t>Kim Talus</w:t>
              </w:r>
            </w:hyperlink>
            <w:r w:rsidRPr="00775EB7">
              <w:rPr>
                <w:rStyle w:val="a-declarative"/>
                <w:rFonts w:ascii="Garamond" w:hAnsi="Garamond"/>
                <w:sz w:val="22"/>
                <w:szCs w:val="22"/>
              </w:rPr>
              <w:t xml:space="preserve">: </w:t>
            </w:r>
            <w:r w:rsidRPr="00775EB7">
              <w:rPr>
                <w:rFonts w:ascii="Garamond" w:hAnsi="Garamond"/>
                <w:sz w:val="22"/>
                <w:szCs w:val="22"/>
              </w:rPr>
              <w:t>EU Energy Law and Policy: A Critical Account, Oxford University Press 2013</w:t>
            </w:r>
          </w:p>
          <w:p w:rsidR="005A546F" w:rsidRPr="00775EB7" w:rsidRDefault="005A546F" w:rsidP="00DE5211">
            <w:pPr>
              <w:ind w:left="284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3. Olajos István-CSÁK Csilla-Bobvos Pál-Szilágyi János Ede-Horváth Szilvia-Prugberger Tamás: The polluter pays principle int he agriculture, Journal of Agricultural and Environmental Law 2006/1. 29-55.o. </w:t>
            </w:r>
          </w:p>
          <w:p w:rsidR="005A546F" w:rsidRPr="00775EB7" w:rsidRDefault="005A546F" w:rsidP="00DE5211">
            <w:pPr>
              <w:ind w:left="284"/>
              <w:jc w:val="both"/>
              <w:rPr>
                <w:rFonts w:ascii="Garamond" w:hAnsi="Garamond"/>
                <w:sz w:val="22"/>
                <w:szCs w:val="22"/>
              </w:rPr>
            </w:pPr>
          </w:p>
        </w:tc>
      </w:tr>
      <w:tr w:rsidR="005A546F" w:rsidRPr="00775EB7" w:rsidTr="00DE5211">
        <w:tc>
          <w:tcPr>
            <w:tcW w:w="9212" w:type="dxa"/>
            <w:gridSpan w:val="2"/>
          </w:tcPr>
          <w:p w:rsidR="005A546F" w:rsidRPr="00775EB7" w:rsidRDefault="005A546F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További szakirodalom</w:t>
            </w:r>
            <w:r w:rsidRPr="00775EB7">
              <w:rPr>
                <w:rFonts w:ascii="Garamond" w:hAnsi="Garamond"/>
                <w:sz w:val="22"/>
                <w:szCs w:val="22"/>
              </w:rPr>
              <w:t>: A szemináriumon kiadott anyagoknak megfelelően.</w:t>
            </w:r>
          </w:p>
          <w:p w:rsidR="005A546F" w:rsidRPr="00775EB7" w:rsidRDefault="005A546F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</w:tr>
    </w:tbl>
    <w:p w:rsidR="00D32926" w:rsidRDefault="005A546F"/>
    <w:sectPr w:rsidR="00D32926" w:rsidSect="00C35988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61583F"/>
    <w:multiLevelType w:val="hybridMultilevel"/>
    <w:tmpl w:val="2738F22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012AE4"/>
    <w:multiLevelType w:val="hybridMultilevel"/>
    <w:tmpl w:val="2738F22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BA197D"/>
    <w:multiLevelType w:val="hybridMultilevel"/>
    <w:tmpl w:val="2738F22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546F"/>
    <w:rsid w:val="005A546F"/>
    <w:rsid w:val="00622808"/>
    <w:rsid w:val="00C35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56B8122"/>
  <w14:defaultImageDpi w14:val="32767"/>
  <w15:chartTrackingRefBased/>
  <w15:docId w15:val="{CE6B3CCD-5D17-F14C-8541-2B0600198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hu-H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l">
    <w:name w:val="Normal"/>
    <w:qFormat/>
    <w:rsid w:val="005A546F"/>
    <w:rPr>
      <w:rFonts w:eastAsia="Calibri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5A546F"/>
    <w:pPr>
      <w:ind w:left="720"/>
      <w:contextualSpacing/>
    </w:pPr>
  </w:style>
  <w:style w:type="character" w:styleId="Hiperhivatkozs">
    <w:name w:val="Hyperlink"/>
    <w:uiPriority w:val="99"/>
    <w:rsid w:val="005A546F"/>
    <w:rPr>
      <w:color w:val="0000FF"/>
      <w:u w:val="single"/>
    </w:rPr>
  </w:style>
  <w:style w:type="character" w:customStyle="1" w:styleId="a-declarative">
    <w:name w:val="a-declarative"/>
    <w:basedOn w:val="Bekezdsalapbettpusa"/>
    <w:rsid w:val="005A546F"/>
  </w:style>
  <w:style w:type="character" w:customStyle="1" w:styleId="author">
    <w:name w:val="author"/>
    <w:basedOn w:val="Bekezdsalapbettpusa"/>
    <w:rsid w:val="005A54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amazon.com/Kim-Talus/e/B0051PIITO/ref=dp_byline_cont_book_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mazon.com/s/ref=dp_byline_sr_book_1?ie=UTF8&amp;field-author=Geert+Van+Calster&amp;search-alias=books&amp;text=Geert+Van+Calster&amp;sort=relevancerank" TargetMode="External"/><Relationship Id="rId5" Type="http://schemas.openxmlformats.org/officeDocument/2006/relationships/hyperlink" Target="http://www.amazon.com/Nicolas-de-Sadeleer/e/B001JOYK2U/ref=dp_byline_cont_book_1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779</Words>
  <Characters>5382</Characters>
  <Application>Microsoft Office Word</Application>
  <DocSecurity>0</DocSecurity>
  <Lines>44</Lines>
  <Paragraphs>12</Paragraphs>
  <ScaleCrop>false</ScaleCrop>
  <Company/>
  <LinksUpToDate>false</LinksUpToDate>
  <CharactersWithSpaces>6149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Office-felhasználó</dc:creator>
  <cp:keywords/>
  <dc:description/>
  <cp:lastModifiedBy>Microsoft Office-felhasználó</cp:lastModifiedBy>
  <cp:revision>1</cp:revision>
  <dcterms:created xsi:type="dcterms:W3CDTF">2024-09-05T09:23:00Z</dcterms:created>
  <dcterms:modified xsi:type="dcterms:W3CDTF">2024-09-05T09:23:00Z</dcterms:modified>
</cp:coreProperties>
</file>